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1"/>
          <w:tab w:val="right" w:pos="9923"/>
        </w:tabs>
        <w:spacing w:before="120"/>
        <w:rPr>
          <w:rFonts w:hint="default" w:ascii="Arial" w:hAnsi="Arial" w:eastAsia="MS Mincho"/>
          <w:b/>
          <w:sz w:val="24"/>
          <w:lang w:val="en-US"/>
        </w:rPr>
      </w:pPr>
      <w:r>
        <w:rPr>
          <w:rFonts w:ascii="Arial" w:hAnsi="Arial" w:eastAsia="MS Mincho"/>
          <w:b/>
          <w:sz w:val="24"/>
          <w:lang w:val="en-GB"/>
        </w:rPr>
        <w:t>3GPP TSG-RAN WG2 Meeting #10</w:t>
      </w:r>
      <w:r>
        <w:rPr>
          <w:rFonts w:hint="default" w:ascii="Arial" w:hAnsi="Arial" w:eastAsia="MS Mincho"/>
          <w:b/>
          <w:sz w:val="24"/>
          <w:lang w:val="en-US"/>
        </w:rPr>
        <w:t>7</w:t>
      </w:r>
      <w:r>
        <w:rPr>
          <w:rFonts w:ascii="Arial" w:hAnsi="Arial" w:eastAsia="MS Mincho"/>
          <w:b/>
          <w:sz w:val="24"/>
          <w:lang w:val="en-GB"/>
        </w:rPr>
        <w:tab/>
      </w:r>
      <w:r>
        <w:rPr>
          <w:rFonts w:hint="eastAsia" w:ascii="Arial" w:hAnsi="Arial" w:eastAsia="MS Mincho"/>
          <w:b/>
          <w:sz w:val="24"/>
          <w:lang w:val="en-GB"/>
        </w:rPr>
        <w:t>R2-1910748</w:t>
      </w:r>
    </w:p>
    <w:p>
      <w:pPr>
        <w:widowControl w:val="0"/>
        <w:tabs>
          <w:tab w:val="left" w:pos="1701"/>
          <w:tab w:val="right" w:pos="9923"/>
        </w:tabs>
        <w:spacing w:before="120"/>
        <w:rPr>
          <w:rFonts w:hint="default" w:ascii="Arial" w:hAnsi="Arial" w:eastAsia="MS Mincho" w:cs="Times New Roman"/>
          <w:b/>
          <w:sz w:val="24"/>
          <w:szCs w:val="24"/>
          <w:lang w:val="en-US" w:eastAsia="zh-CN" w:bidi="ar-SA"/>
        </w:rPr>
      </w:pPr>
      <w:r>
        <w:rPr>
          <w:rFonts w:ascii="Arial" w:hAnsi="Arial" w:eastAsia="MS Mincho" w:cs="Times New Roman"/>
          <w:b/>
          <w:sz w:val="24"/>
          <w:szCs w:val="24"/>
          <w:lang w:val="en-GB" w:eastAsia="zh-CN" w:bidi="ar-SA"/>
        </w:rPr>
        <w:t>Prague, Czech Republic,26th - 30th August 2019</w:t>
      </w:r>
      <w:r>
        <w:rPr>
          <w:rFonts w:hint="default" w:ascii="Arial" w:hAnsi="Arial" w:eastAsia="MS Mincho" w:cs="Times New Roman"/>
          <w:b/>
          <w:sz w:val="24"/>
          <w:szCs w:val="24"/>
          <w:lang w:val="en-US" w:eastAsia="zh-CN" w:bidi="ar-SA"/>
        </w:rPr>
        <w:t xml:space="preserve">               </w:t>
      </w:r>
      <w:r>
        <w:rPr>
          <w:rFonts w:hint="default" w:ascii="Arial" w:hAnsi="Arial" w:eastAsia="MS Mincho" w:cs="Times New Roman"/>
          <w:b/>
          <w:i/>
          <w:iCs/>
          <w:sz w:val="24"/>
          <w:szCs w:val="24"/>
          <w:lang w:val="en-US" w:eastAsia="zh-CN" w:bidi="ar-SA"/>
        </w:rPr>
        <w:t xml:space="preserve">Revision of </w:t>
      </w:r>
      <w:r>
        <w:rPr>
          <w:rFonts w:hint="default" w:ascii="Arial" w:hAnsi="Arial" w:eastAsia="MS Mincho" w:cs="Times New Roman"/>
          <w:b/>
          <w:i/>
          <w:iCs/>
          <w:sz w:val="24"/>
          <w:szCs w:val="24"/>
          <w:lang w:val="en-GB" w:eastAsia="ko-KR" w:bidi="ar-SA"/>
        </w:rPr>
        <w:t>R2-19</w:t>
      </w:r>
      <w:r>
        <w:rPr>
          <w:rFonts w:ascii="Arial" w:hAnsi="Arial" w:eastAsia="MS Mincho"/>
          <w:b/>
          <w:i/>
          <w:iCs/>
          <w:sz w:val="24"/>
        </w:rPr>
        <w:t>07096</w:t>
      </w:r>
    </w:p>
    <w:p>
      <w:pPr>
        <w:overflowPunct w:val="0"/>
        <w:autoSpaceDE w:val="0"/>
        <w:autoSpaceDN w:val="0"/>
        <w:adjustRightInd w:val="0"/>
        <w:snapToGrid w:val="0"/>
        <w:jc w:val="left"/>
        <w:textAlignment w:val="baseline"/>
        <w:rPr>
          <w:rFonts w:ascii="Arial" w:hAnsi="Arial" w:cs="Arial"/>
          <w:b/>
          <w:bCs/>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b/>
          <w:bCs/>
          <w:snapToGrid w:val="0"/>
          <w:kern w:val="0"/>
          <w:sz w:val="24"/>
        </w:rPr>
        <w:t>O</w:t>
      </w:r>
      <w:r>
        <w:rPr>
          <w:rFonts w:hint="eastAsia" w:ascii="Arial" w:hAnsi="Arial" w:cs="Arial"/>
          <w:b/>
          <w:bCs/>
          <w:snapToGrid w:val="0"/>
          <w:kern w:val="0"/>
          <w:sz w:val="24"/>
        </w:rPr>
        <w:t xml:space="preserve">n </w:t>
      </w:r>
      <w:r>
        <w:rPr>
          <w:rFonts w:ascii="Arial" w:hAnsi="Arial" w:cs="Arial"/>
          <w:b/>
          <w:bCs/>
          <w:snapToGrid w:val="0"/>
          <w:kern w:val="0"/>
          <w:sz w:val="24"/>
        </w:rPr>
        <w:t>D</w:t>
      </w:r>
      <w:r>
        <w:rPr>
          <w:rFonts w:hint="eastAsia" w:ascii="Arial" w:hAnsi="Arial" w:cs="Arial"/>
          <w:b/>
          <w:bCs/>
          <w:snapToGrid w:val="0"/>
          <w:kern w:val="0"/>
          <w:sz w:val="24"/>
        </w:rPr>
        <w:t xml:space="preserve">irectly </w:t>
      </w:r>
      <w:r>
        <w:rPr>
          <w:rFonts w:ascii="Arial" w:hAnsi="Arial" w:cs="Arial"/>
          <w:b/>
          <w:bCs/>
          <w:snapToGrid w:val="0"/>
          <w:kern w:val="0"/>
          <w:sz w:val="24"/>
        </w:rPr>
        <w:t>C</w:t>
      </w:r>
      <w:r>
        <w:rPr>
          <w:rFonts w:hint="eastAsia" w:ascii="Arial" w:hAnsi="Arial" w:cs="Arial"/>
          <w:b/>
          <w:bCs/>
          <w:snapToGrid w:val="0"/>
          <w:kern w:val="0"/>
          <w:sz w:val="24"/>
        </w:rPr>
        <w:t xml:space="preserve">onfiguring SCell as </w:t>
      </w:r>
      <w:r>
        <w:rPr>
          <w:rFonts w:ascii="Arial" w:hAnsi="Arial" w:cs="Arial"/>
          <w:b/>
          <w:bCs/>
          <w:snapToGrid w:val="0"/>
          <w:kern w:val="0"/>
          <w:sz w:val="24"/>
        </w:rPr>
        <w:t>A</w:t>
      </w:r>
      <w:r>
        <w:rPr>
          <w:rFonts w:hint="eastAsia" w:ascii="Arial" w:hAnsi="Arial" w:cs="Arial"/>
          <w:b/>
          <w:bCs/>
          <w:snapToGrid w:val="0"/>
          <w:kern w:val="0"/>
          <w:sz w:val="24"/>
        </w:rPr>
        <w:t>ctivated</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bookmarkStart w:id="0" w:name="Source"/>
      <w:bookmarkEnd w:id="0"/>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11.10.4</w:t>
      </w:r>
      <w:r>
        <w:rPr>
          <w:rFonts w:ascii="Arial" w:hAnsi="Arial" w:cs="Arial"/>
          <w:b/>
          <w:bCs/>
          <w:snapToGrid w:val="0"/>
          <w:kern w:val="0"/>
          <w:sz w:val="24"/>
        </w:rPr>
        <w:t>.1</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after="0"/>
        <w:rPr>
          <w:bCs/>
          <w:szCs w:val="21"/>
        </w:rPr>
      </w:pPr>
      <w:r>
        <w:rPr>
          <w:bCs/>
          <w:szCs w:val="21"/>
        </w:rPr>
        <w:t>In last RAN2 meeting [1], it was agreed that SCells of both MCG and SCG can be configured in deactivated or activated state by RRC message</w:t>
      </w:r>
      <w:r>
        <w:t xml:space="preserve"> upon addition or after a handover</w:t>
      </w:r>
      <w:r>
        <w:rPr>
          <w:bCs/>
          <w:szCs w:val="21"/>
        </w:rPr>
        <w:t xml:space="preserve">. FFS if this applies to resume procedure. This contribution provides considerations on </w:t>
      </w:r>
      <w:r>
        <w:rPr>
          <w:rFonts w:hint="eastAsia"/>
          <w:bCs/>
          <w:szCs w:val="21"/>
        </w:rPr>
        <w:t>FFS issue</w:t>
      </w:r>
      <w:r>
        <w:rPr>
          <w:bCs/>
          <w:szCs w:val="21"/>
        </w:rPr>
        <w:t xml:space="preserve"> and further configuration details.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pPr>
        <w:rPr>
          <w:szCs w:val="21"/>
        </w:rPr>
      </w:pPr>
      <w:r>
        <w:rPr>
          <w:szCs w:val="21"/>
        </w:rPr>
        <w:t xml:space="preserve">In current NR specification, </w:t>
      </w:r>
      <w:r>
        <w:rPr>
          <w:rFonts w:hint="eastAsia"/>
          <w:szCs w:val="21"/>
        </w:rPr>
        <w:t>upon initiating RRC resume, the UE resume</w:t>
      </w:r>
      <w:r>
        <w:rPr>
          <w:szCs w:val="21"/>
        </w:rPr>
        <w:t>s</w:t>
      </w:r>
      <w:r>
        <w:rPr>
          <w:rFonts w:hint="eastAsia"/>
          <w:szCs w:val="21"/>
        </w:rPr>
        <w:t xml:space="preserve"> </w:t>
      </w:r>
      <w:r>
        <w:rPr>
          <w:szCs w:val="21"/>
        </w:rPr>
        <w:t xml:space="preserve">the </w:t>
      </w:r>
      <w:r>
        <w:rPr>
          <w:rFonts w:hint="eastAsia"/>
          <w:szCs w:val="21"/>
        </w:rPr>
        <w:t xml:space="preserve">stored MCG configuration from local context, and gNB can reconfigure MCG in RRC resume message. </w:t>
      </w:r>
      <w:r>
        <w:rPr>
          <w:szCs w:val="21"/>
        </w:rPr>
        <w:t>In last RAN2 meeting, it was agreed that “SCG configuration in RRC resume message can be considered”[1].</w:t>
      </w:r>
      <w:r>
        <w:rPr>
          <w:rFonts w:hint="eastAsia"/>
          <w:szCs w:val="21"/>
        </w:rPr>
        <w:t xml:space="preserve">We see no difference in configuring SCells in activated state in RRC resume message from other cases. </w:t>
      </w:r>
    </w:p>
    <w:p>
      <w:pPr>
        <w:rPr>
          <w:szCs w:val="21"/>
        </w:rPr>
      </w:pPr>
      <w:r>
        <w:rPr>
          <w:rFonts w:hint="eastAsia"/>
          <w:szCs w:val="21"/>
        </w:rPr>
        <w:t xml:space="preserve">When </w:t>
      </w:r>
      <w:r>
        <w:rPr>
          <w:szCs w:val="21"/>
        </w:rPr>
        <w:t xml:space="preserve">the </w:t>
      </w:r>
      <w:r>
        <w:rPr>
          <w:rFonts w:hint="eastAsia"/>
          <w:szCs w:val="21"/>
        </w:rPr>
        <w:t>UE transit</w:t>
      </w:r>
      <w:r>
        <w:rPr>
          <w:szCs w:val="21"/>
        </w:rPr>
        <w:t>s</w:t>
      </w:r>
      <w:r>
        <w:rPr>
          <w:rFonts w:hint="eastAsia"/>
          <w:szCs w:val="21"/>
        </w:rPr>
        <w:t xml:space="preserve"> to RRC CONNECTED from RRC INACTIVE, data transmission can be started as soon </w:t>
      </w:r>
      <w:r>
        <w:rPr>
          <w:szCs w:val="21"/>
        </w:rPr>
        <w:t xml:space="preserve">as the </w:t>
      </w:r>
      <w:r>
        <w:rPr>
          <w:rFonts w:hint="eastAsia"/>
          <w:szCs w:val="21"/>
        </w:rPr>
        <w:t xml:space="preserve">SCell is ready because the DRB is resumed during resume procedure. </w:t>
      </w:r>
      <w:r>
        <w:rPr>
          <w:szCs w:val="21"/>
        </w:rPr>
        <w:t>C</w:t>
      </w:r>
      <w:r>
        <w:rPr>
          <w:rFonts w:hint="eastAsia"/>
          <w:szCs w:val="21"/>
        </w:rPr>
        <w:t>onfigur</w:t>
      </w:r>
      <w:r>
        <w:rPr>
          <w:szCs w:val="21"/>
        </w:rPr>
        <w:t>ing</w:t>
      </w:r>
      <w:r>
        <w:rPr>
          <w:rFonts w:hint="eastAsia"/>
          <w:szCs w:val="21"/>
        </w:rPr>
        <w:t xml:space="preserve"> SCell </w:t>
      </w:r>
      <w:r>
        <w:rPr>
          <w:szCs w:val="21"/>
        </w:rPr>
        <w:t xml:space="preserve">as </w:t>
      </w:r>
      <w:r>
        <w:rPr>
          <w:rFonts w:hint="eastAsia"/>
          <w:szCs w:val="21"/>
        </w:rPr>
        <w:t>activated in RRC resume message is beneficial to speed up this procedure.</w:t>
      </w:r>
    </w:p>
    <w:p>
      <w:pPr>
        <w:rPr>
          <w:szCs w:val="21"/>
        </w:rPr>
      </w:pPr>
      <w:r>
        <w:rPr>
          <w:rFonts w:hint="eastAsia"/>
          <w:szCs w:val="21"/>
        </w:rPr>
        <w:t xml:space="preserve">One concern may be that the blind reconfiguration of MCG and SCG may cause SCell activation failure. We understand the </w:t>
      </w:r>
      <w:r>
        <w:rPr>
          <w:szCs w:val="21"/>
        </w:rPr>
        <w:t>network</w:t>
      </w:r>
      <w:r>
        <w:rPr>
          <w:rFonts w:hint="eastAsia"/>
          <w:szCs w:val="21"/>
        </w:rPr>
        <w:t xml:space="preserve"> can deactivate or remove the SCell if the failure occurs as in other cases. It seems there is no issue.</w:t>
      </w:r>
    </w:p>
    <w:p>
      <w:pPr>
        <w:numPr>
          <w:ilvl w:val="0"/>
          <w:numId w:val="4"/>
        </w:numPr>
        <w:ind w:left="1245" w:hanging="1245"/>
        <w:rPr>
          <w:b/>
          <w:bCs/>
          <w:szCs w:val="21"/>
        </w:rPr>
      </w:pPr>
      <w:r>
        <w:rPr>
          <w:rFonts w:hint="eastAsia"/>
          <w:b/>
          <w:bCs/>
          <w:szCs w:val="21"/>
        </w:rPr>
        <w:t>SCell of both MCG and SCG can be configured in activated state by RRC resume message</w:t>
      </w:r>
      <w:r>
        <w:rPr>
          <w:b/>
          <w:bCs/>
          <w:szCs w:val="21"/>
        </w:rPr>
        <w:t>.</w:t>
      </w:r>
    </w:p>
    <w:p>
      <w:r>
        <w:rPr>
          <w:rFonts w:hint="eastAsia"/>
        </w:rPr>
        <w:t>Another issue relat</w:t>
      </w:r>
      <w:r>
        <w:t>ed</w:t>
      </w:r>
      <w:r>
        <w:rPr>
          <w:rFonts w:hint="eastAsia"/>
        </w:rPr>
        <w:t xml:space="preserve"> to SCell activation by RRC message is how to indicate TCI state for PDCCH reception for to be activated SCell. </w:t>
      </w:r>
    </w:p>
    <w:p>
      <w:pPr>
        <w:rPr>
          <w:szCs w:val="21"/>
        </w:rPr>
      </w:pPr>
      <w:r>
        <w:t xml:space="preserve">TCI state information is used to indicate the beam for UE monitoring PDCCH or PDSCH by associating one or two downlink reference signals (SSB or CSI-RS in NR) with a corresponding </w:t>
      </w:r>
      <w:r>
        <w:rPr>
          <w:rFonts w:hint="eastAsia"/>
        </w:rPr>
        <w:t>quasi-collocation</w:t>
      </w:r>
      <w:r>
        <w:t xml:space="preserve"> (QCL) type. </w:t>
      </w:r>
      <w:r>
        <w:rPr>
          <w:rFonts w:hint="eastAsia"/>
          <w:szCs w:val="21"/>
        </w:rPr>
        <w:t xml:space="preserve">In current NR specification, the </w:t>
      </w:r>
      <w:r>
        <w:rPr>
          <w:szCs w:val="21"/>
        </w:rPr>
        <w:t>network</w:t>
      </w:r>
      <w:r>
        <w:rPr>
          <w:rFonts w:hint="eastAsia"/>
          <w:szCs w:val="21"/>
        </w:rPr>
        <w:t xml:space="preserve"> configures UE specific TCI state for PDCCH reception by two step wise approach: firstly configure a list of candidate TCI state by RRC message, and activate TCI state for PDCCH by transmitting </w:t>
      </w:r>
      <w:r>
        <w:rPr>
          <w:szCs w:val="21"/>
        </w:rPr>
        <w:t>“</w:t>
      </w:r>
      <w:r>
        <w:rPr>
          <w:lang w:eastAsia="ko-KR"/>
        </w:rPr>
        <w:t>TCI State Indication for UE-specific PDCCH MAC CE</w:t>
      </w:r>
      <w:r>
        <w:rPr>
          <w:szCs w:val="21"/>
        </w:rPr>
        <w:t>”</w:t>
      </w:r>
      <w:r>
        <w:rPr>
          <w:rFonts w:hint="eastAsia"/>
          <w:szCs w:val="21"/>
        </w:rPr>
        <w:t>.</w:t>
      </w:r>
    </w:p>
    <w:p>
      <w:pPr>
        <w:rPr>
          <w:szCs w:val="21"/>
        </w:rPr>
      </w:pPr>
      <w:r>
        <w:rPr>
          <w:rFonts w:hint="eastAsia"/>
          <w:szCs w:val="21"/>
        </w:rPr>
        <w:t xml:space="preserve">When configuring the SCell in activated </w:t>
      </w:r>
      <w:r>
        <w:rPr>
          <w:szCs w:val="21"/>
        </w:rPr>
        <w:t xml:space="preserve">state </w:t>
      </w:r>
      <w:r>
        <w:rPr>
          <w:rFonts w:hint="eastAsia"/>
          <w:szCs w:val="21"/>
        </w:rPr>
        <w:t>in SCell addition case, it is preferred to configure an active TCI state for PDCCH reception via RRC, i.e. one step activation. Because the RRC handling delay on UE side is uncertain, follow</w:t>
      </w:r>
      <w:r>
        <w:rPr>
          <w:szCs w:val="21"/>
        </w:rPr>
        <w:t>ing the</w:t>
      </w:r>
      <w:r>
        <w:rPr>
          <w:rFonts w:hint="eastAsia"/>
          <w:szCs w:val="21"/>
        </w:rPr>
        <w:t xml:space="preserve"> legacy two step approach, it is difficult for the </w:t>
      </w:r>
      <w:r>
        <w:rPr>
          <w:szCs w:val="21"/>
        </w:rPr>
        <w:t>network</w:t>
      </w:r>
      <w:r>
        <w:rPr>
          <w:rFonts w:hint="eastAsia"/>
          <w:szCs w:val="21"/>
        </w:rPr>
        <w:t xml:space="preserve"> to determine the timing to transmit the MAC CE. If the MAC CE is transmitted too early, i.e. before RRC processing is finished, UE cannot handle the MAC CE. If the MAC CE is transmitted too late, additional delay will be caused.</w:t>
      </w:r>
    </w:p>
    <w:p>
      <w:pPr>
        <w:rPr>
          <w:szCs w:val="21"/>
        </w:rPr>
      </w:pPr>
      <w:r>
        <w:rPr>
          <w:rFonts w:hint="eastAsia"/>
          <w:szCs w:val="21"/>
        </w:rPr>
        <w:t xml:space="preserve">If the RRC message which configures the SCell in activated also indicates an active UE specific TCI state for PDCCH reception, the UE can use it for activating PDCCH monitoring which is part of SCell activation when the UE is ready to do so. </w:t>
      </w:r>
    </w:p>
    <w:p>
      <w:pPr>
        <w:rPr>
          <w:szCs w:val="21"/>
        </w:rPr>
      </w:pPr>
      <w:r>
        <w:rPr>
          <w:rFonts w:hint="eastAsia"/>
          <w:szCs w:val="21"/>
        </w:rPr>
        <w:t>This analysis also applies to configuring SCell in activated in RRC resume and handover case.</w:t>
      </w:r>
    </w:p>
    <w:p>
      <w:pPr>
        <w:numPr>
          <w:ilvl w:val="0"/>
          <w:numId w:val="4"/>
        </w:numPr>
        <w:ind w:left="1245" w:hanging="1245"/>
        <w:rPr>
          <w:b/>
          <w:bCs/>
          <w:szCs w:val="21"/>
        </w:rPr>
      </w:pPr>
      <w:r>
        <w:rPr>
          <w:rFonts w:hint="eastAsia"/>
          <w:b/>
          <w:bCs/>
          <w:szCs w:val="21"/>
        </w:rPr>
        <w:t xml:space="preserve">When configuring a SCell in activated by RRC message, the </w:t>
      </w:r>
      <w:r>
        <w:rPr>
          <w:b/>
          <w:bCs/>
          <w:szCs w:val="21"/>
        </w:rPr>
        <w:t>netowrk</w:t>
      </w:r>
      <w:r>
        <w:rPr>
          <w:rFonts w:hint="eastAsia"/>
          <w:b/>
          <w:bCs/>
          <w:szCs w:val="21"/>
        </w:rPr>
        <w:t xml:space="preserve"> can configure active UE specific TCI state for PDCCH reception for this SCell in the same RRC message.</w:t>
      </w:r>
    </w:p>
    <w:p>
      <w:pPr>
        <w:rPr>
          <w:szCs w:val="21"/>
        </w:rPr>
      </w:pPr>
      <w:r>
        <w:rPr>
          <w:rFonts w:hint="eastAsia"/>
          <w:szCs w:val="21"/>
        </w:rPr>
        <w:t xml:space="preserve">For UE specific PDCSH TCI state, the </w:t>
      </w:r>
      <w:r>
        <w:rPr>
          <w:szCs w:val="21"/>
        </w:rPr>
        <w:t>network</w:t>
      </w:r>
      <w:r>
        <w:rPr>
          <w:rFonts w:hint="eastAsia"/>
          <w:szCs w:val="21"/>
        </w:rPr>
        <w:t xml:space="preserve"> can activate it for the SCell as soon as SCell activation is finished. It seems unnecessary to activate this by RRC message.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w:t>
      </w:r>
    </w:p>
    <w:p>
      <w:pPr>
        <w:numPr>
          <w:ilvl w:val="0"/>
          <w:numId w:val="5"/>
        </w:numPr>
        <w:ind w:left="1245" w:hanging="1245"/>
        <w:rPr>
          <w:b/>
          <w:bCs/>
          <w:szCs w:val="21"/>
        </w:rPr>
      </w:pPr>
      <w:r>
        <w:rPr>
          <w:rFonts w:hint="eastAsia"/>
          <w:b/>
          <w:bCs/>
          <w:szCs w:val="21"/>
        </w:rPr>
        <w:t>SCell of both MCG and SCG can be configured in activated state by RRC resume message</w:t>
      </w:r>
      <w:r>
        <w:rPr>
          <w:b/>
          <w:bCs/>
          <w:szCs w:val="21"/>
        </w:rPr>
        <w:t>.</w:t>
      </w:r>
    </w:p>
    <w:p>
      <w:pPr>
        <w:numPr>
          <w:ilvl w:val="0"/>
          <w:numId w:val="5"/>
        </w:numPr>
        <w:ind w:left="1245" w:hanging="1245"/>
        <w:rPr>
          <w:b/>
          <w:bCs/>
          <w:szCs w:val="21"/>
        </w:rPr>
      </w:pPr>
      <w:r>
        <w:rPr>
          <w:rFonts w:hint="eastAsia"/>
          <w:b/>
          <w:bCs/>
          <w:szCs w:val="21"/>
        </w:rPr>
        <w:t xml:space="preserve">When configuring a SCell in activated by RRC message, the </w:t>
      </w:r>
      <w:r>
        <w:rPr>
          <w:b/>
          <w:bCs/>
          <w:szCs w:val="21"/>
        </w:rPr>
        <w:t>network</w:t>
      </w:r>
      <w:r>
        <w:rPr>
          <w:rFonts w:hint="eastAsia"/>
          <w:b/>
          <w:bCs/>
          <w:szCs w:val="21"/>
        </w:rPr>
        <w:t xml:space="preserve"> can configure active UE specific TCI state for PDCCH reception for this SCell in the same RRC message.</w:t>
      </w:r>
      <w:bookmarkStart w:id="2" w:name="_GoBack"/>
      <w:bookmarkEnd w:id="2"/>
      <w:r>
        <w:rPr>
          <w:rFonts w:hint="eastAsia"/>
          <w:b/>
          <w:bCs/>
          <w:szCs w:val="21"/>
        </w:rPr>
        <w:t xml:space="preserve">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7"/>
        <w:numPr>
          <w:ilvl w:val="0"/>
          <w:numId w:val="6"/>
        </w:numPr>
        <w:ind w:firstLineChars="0"/>
      </w:pPr>
      <w:r>
        <w:t>RAN2</w:t>
      </w:r>
      <w:r>
        <w:rPr>
          <w:rFonts w:hint="eastAsia"/>
        </w:rPr>
        <w:t>#105</w:t>
      </w:r>
      <w:r>
        <w:t>bis chairman notes</w:t>
      </w:r>
    </w:p>
    <w:p>
      <w:pPr>
        <w:pStyle w:val="67"/>
        <w:numPr>
          <w:ilvl w:val="0"/>
          <w:numId w:val="6"/>
        </w:numPr>
        <w:ind w:firstLineChars="0"/>
      </w:pPr>
      <w:r>
        <w:t>TS 38.321, v15.4.0</w:t>
      </w:r>
    </w:p>
    <w:p>
      <w:pPr>
        <w:pStyle w:val="67"/>
        <w:numPr>
          <w:ilvl w:val="0"/>
          <w:numId w:val="6"/>
        </w:numPr>
        <w:ind w:firstLineChars="0"/>
      </w:pPr>
      <w:r>
        <w:t>TS 38.331, v15.4.0</w:t>
      </w:r>
    </w:p>
    <w:sectPr>
      <w:headerReference r:id="rId3" w:type="default"/>
      <w:footerReference r:id="rId4" w:type="default"/>
      <w:footerReference r:id="rId5" w:type="even"/>
      <w:pgSz w:w="11906" w:h="16838"/>
      <w:pgMar w:top="1440" w:right="975" w:bottom="208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A00002EF" w:usb1="4000207B" w:usb2="00000000" w:usb3="00000000" w:csb0="2000009F" w:csb1="00000000"/>
  </w:font>
  <w:font w:name="Consolas">
    <w:panose1 w:val="020B0609020204030204"/>
    <w:charset w:val="00"/>
    <w:family w:val="modern"/>
    <w:pitch w:val="default"/>
    <w:sig w:usb0="A00002EF" w:usb1="4000204B" w:usb2="00000000" w:usb3="00000000" w:csb0="2000009F" w:csb1="00000000"/>
  </w:font>
  <w:font w:name="Batang">
    <w:panose1 w:val="02030600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8"/>
      </w:rPr>
    </w:pPr>
    <w:r>
      <w:rPr>
        <w:rStyle w:val="58"/>
      </w:rPr>
      <w:fldChar w:fldCharType="begin"/>
    </w:r>
    <w:r>
      <w:rPr>
        <w:rStyle w:val="58"/>
      </w:rPr>
      <w:instrText xml:space="preserve">PAGE  </w:instrText>
    </w:r>
    <w:r>
      <w:rPr>
        <w:rStyle w:val="58"/>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E959A8"/>
    <w:multiLevelType w:val="multilevel"/>
    <w:tmpl w:val="EBE959A8"/>
    <w:lvl w:ilvl="0" w:tentative="0">
      <w:start w:val="1"/>
      <w:numFmt w:val="decimal"/>
      <w:lvlText w:val="Proposal %1"/>
      <w:lvlJc w:val="left"/>
      <w:pPr>
        <w:ind w:left="425" w:hanging="425"/>
      </w:pPr>
      <w:rPr>
        <w:rFonts w:hint="default" w:ascii="Times New Roman" w:hAnsi="Times New Roman" w:eastAsia="宋体" w:cs="宋体"/>
        <w:bCs/>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653576A"/>
    <w:multiLevelType w:val="multilevel"/>
    <w:tmpl w:val="3653576A"/>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3D53C888"/>
    <w:multiLevelType w:val="multilevel"/>
    <w:tmpl w:val="3D53C888"/>
    <w:lvl w:ilvl="0" w:tentative="0">
      <w:start w:val="1"/>
      <w:numFmt w:val="decimal"/>
      <w:lvlText w:val="Proposal %1"/>
      <w:lvlJc w:val="left"/>
      <w:pPr>
        <w:ind w:left="425" w:hanging="425"/>
      </w:pPr>
      <w:rPr>
        <w:rFonts w:hint="default" w:ascii="Times New Roman" w:hAnsi="Times New Roman" w:eastAsia="宋体" w:cs="宋体"/>
        <w:bCs/>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5">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5"/>
  </w:num>
  <w:num w:numId="3">
    <w:abstractNumId w:val="2"/>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420"/>
  <w:hyphenationZone w:val="283"/>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394D"/>
    <w:rsid w:val="000055B1"/>
    <w:rsid w:val="00005B70"/>
    <w:rsid w:val="000103E7"/>
    <w:rsid w:val="000130CA"/>
    <w:rsid w:val="00013FAD"/>
    <w:rsid w:val="00017344"/>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4CE"/>
    <w:rsid w:val="00046E3D"/>
    <w:rsid w:val="000563ED"/>
    <w:rsid w:val="000603D6"/>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2CC"/>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1F6DA4"/>
    <w:rsid w:val="00201FFE"/>
    <w:rsid w:val="00202C4B"/>
    <w:rsid w:val="00203B88"/>
    <w:rsid w:val="002052A2"/>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5DA3"/>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D1A"/>
    <w:rsid w:val="00437EF1"/>
    <w:rsid w:val="00441EB5"/>
    <w:rsid w:val="0044341B"/>
    <w:rsid w:val="00443D84"/>
    <w:rsid w:val="00444F7D"/>
    <w:rsid w:val="00445007"/>
    <w:rsid w:val="00446A9B"/>
    <w:rsid w:val="00453750"/>
    <w:rsid w:val="00456668"/>
    <w:rsid w:val="00456FE5"/>
    <w:rsid w:val="0046088D"/>
    <w:rsid w:val="00460FF4"/>
    <w:rsid w:val="00462F02"/>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6B3F"/>
    <w:rsid w:val="006503F8"/>
    <w:rsid w:val="00650D0F"/>
    <w:rsid w:val="00651856"/>
    <w:rsid w:val="006521E7"/>
    <w:rsid w:val="0065579F"/>
    <w:rsid w:val="00661CDB"/>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6CDD"/>
    <w:rsid w:val="00736FEF"/>
    <w:rsid w:val="00737516"/>
    <w:rsid w:val="00741230"/>
    <w:rsid w:val="007414E3"/>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9C5"/>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0810"/>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0F5E"/>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6952"/>
    <w:rsid w:val="009D7AC8"/>
    <w:rsid w:val="009D7F9A"/>
    <w:rsid w:val="009E068F"/>
    <w:rsid w:val="009E1B89"/>
    <w:rsid w:val="009E56AF"/>
    <w:rsid w:val="009E619C"/>
    <w:rsid w:val="009E7020"/>
    <w:rsid w:val="009E7045"/>
    <w:rsid w:val="009E748B"/>
    <w:rsid w:val="009F2244"/>
    <w:rsid w:val="009F2362"/>
    <w:rsid w:val="009F3D12"/>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DD4"/>
    <w:rsid w:val="00AC4276"/>
    <w:rsid w:val="00AC464D"/>
    <w:rsid w:val="00AC51E8"/>
    <w:rsid w:val="00AC57DE"/>
    <w:rsid w:val="00AD0CA9"/>
    <w:rsid w:val="00AD1C5F"/>
    <w:rsid w:val="00AD2407"/>
    <w:rsid w:val="00AD2F9B"/>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1B"/>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65DE"/>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E6DD0"/>
    <w:rsid w:val="00CF18A3"/>
    <w:rsid w:val="00CF356A"/>
    <w:rsid w:val="00CF4A61"/>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0BCC"/>
    <w:rsid w:val="00D52834"/>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0030"/>
    <w:rsid w:val="00DC22BE"/>
    <w:rsid w:val="00DC5F62"/>
    <w:rsid w:val="00DC7FAF"/>
    <w:rsid w:val="00DD02BA"/>
    <w:rsid w:val="00DD100B"/>
    <w:rsid w:val="00DD4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5DCB"/>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2B3D"/>
    <w:rsid w:val="00E6315A"/>
    <w:rsid w:val="00E63986"/>
    <w:rsid w:val="00E65554"/>
    <w:rsid w:val="00E65E86"/>
    <w:rsid w:val="00E66C3B"/>
    <w:rsid w:val="00E71559"/>
    <w:rsid w:val="00E71B00"/>
    <w:rsid w:val="00E73C7F"/>
    <w:rsid w:val="00E740D9"/>
    <w:rsid w:val="00E8224F"/>
    <w:rsid w:val="00E832E5"/>
    <w:rsid w:val="00E84809"/>
    <w:rsid w:val="00E853FB"/>
    <w:rsid w:val="00E85E3C"/>
    <w:rsid w:val="00E87D09"/>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9D6"/>
    <w:rsid w:val="00EC1D1E"/>
    <w:rsid w:val="00EC201F"/>
    <w:rsid w:val="00EC40E3"/>
    <w:rsid w:val="00EC465B"/>
    <w:rsid w:val="00EC5A04"/>
    <w:rsid w:val="00EC7D8F"/>
    <w:rsid w:val="00EC7E1A"/>
    <w:rsid w:val="00ED09F7"/>
    <w:rsid w:val="00ED0F55"/>
    <w:rsid w:val="00ED15C7"/>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6DB"/>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14720D7"/>
    <w:rsid w:val="016429DB"/>
    <w:rsid w:val="016B1124"/>
    <w:rsid w:val="017800C5"/>
    <w:rsid w:val="01C66314"/>
    <w:rsid w:val="01F87760"/>
    <w:rsid w:val="02107794"/>
    <w:rsid w:val="021C71D0"/>
    <w:rsid w:val="024E797F"/>
    <w:rsid w:val="029744A1"/>
    <w:rsid w:val="02CA59DD"/>
    <w:rsid w:val="02DE06A4"/>
    <w:rsid w:val="02F5589C"/>
    <w:rsid w:val="0306294B"/>
    <w:rsid w:val="030856B5"/>
    <w:rsid w:val="036C62EF"/>
    <w:rsid w:val="037A46D3"/>
    <w:rsid w:val="03CD590F"/>
    <w:rsid w:val="04043AF0"/>
    <w:rsid w:val="044A4632"/>
    <w:rsid w:val="048278F7"/>
    <w:rsid w:val="04BD0D3B"/>
    <w:rsid w:val="04F352A5"/>
    <w:rsid w:val="050E6489"/>
    <w:rsid w:val="057850B4"/>
    <w:rsid w:val="058C1D64"/>
    <w:rsid w:val="059865A2"/>
    <w:rsid w:val="05CE1556"/>
    <w:rsid w:val="05F5528B"/>
    <w:rsid w:val="05FC410E"/>
    <w:rsid w:val="06110B74"/>
    <w:rsid w:val="062F5128"/>
    <w:rsid w:val="066E220C"/>
    <w:rsid w:val="07283DE5"/>
    <w:rsid w:val="07553E7D"/>
    <w:rsid w:val="078E330A"/>
    <w:rsid w:val="084978A5"/>
    <w:rsid w:val="086438B1"/>
    <w:rsid w:val="08974AD7"/>
    <w:rsid w:val="08AA26FF"/>
    <w:rsid w:val="08AA3EF7"/>
    <w:rsid w:val="08AB3780"/>
    <w:rsid w:val="08DE2416"/>
    <w:rsid w:val="08EC4DB9"/>
    <w:rsid w:val="08F33BE8"/>
    <w:rsid w:val="091B50BA"/>
    <w:rsid w:val="09662E56"/>
    <w:rsid w:val="09685C55"/>
    <w:rsid w:val="096E34B0"/>
    <w:rsid w:val="09953139"/>
    <w:rsid w:val="09D13ABF"/>
    <w:rsid w:val="09E11F16"/>
    <w:rsid w:val="0A047B3E"/>
    <w:rsid w:val="0A351CEF"/>
    <w:rsid w:val="0A376299"/>
    <w:rsid w:val="0A39193C"/>
    <w:rsid w:val="0A5939BD"/>
    <w:rsid w:val="0AAD201C"/>
    <w:rsid w:val="0ABF62E4"/>
    <w:rsid w:val="0B9161E5"/>
    <w:rsid w:val="0B9854B0"/>
    <w:rsid w:val="0BF307B1"/>
    <w:rsid w:val="0C335952"/>
    <w:rsid w:val="0C572B0E"/>
    <w:rsid w:val="0C98504D"/>
    <w:rsid w:val="0CAC4E19"/>
    <w:rsid w:val="0CD5634C"/>
    <w:rsid w:val="0D225F51"/>
    <w:rsid w:val="0D831B6D"/>
    <w:rsid w:val="0D89272A"/>
    <w:rsid w:val="0DB34A87"/>
    <w:rsid w:val="0DE00CC4"/>
    <w:rsid w:val="0DE35839"/>
    <w:rsid w:val="0E17248E"/>
    <w:rsid w:val="0E1A5BF9"/>
    <w:rsid w:val="0E3F3320"/>
    <w:rsid w:val="0E5E35E5"/>
    <w:rsid w:val="0E741C25"/>
    <w:rsid w:val="0E830BC8"/>
    <w:rsid w:val="0EBC6F8F"/>
    <w:rsid w:val="0ED03F4D"/>
    <w:rsid w:val="0EDF0C42"/>
    <w:rsid w:val="0EE336CA"/>
    <w:rsid w:val="0EE96FA9"/>
    <w:rsid w:val="0EF22955"/>
    <w:rsid w:val="0F0B6882"/>
    <w:rsid w:val="0F2D01FF"/>
    <w:rsid w:val="0F7F125E"/>
    <w:rsid w:val="0F924692"/>
    <w:rsid w:val="0FED59EA"/>
    <w:rsid w:val="0FF2192E"/>
    <w:rsid w:val="103D3A72"/>
    <w:rsid w:val="107A7C85"/>
    <w:rsid w:val="10A4002B"/>
    <w:rsid w:val="10C54BD2"/>
    <w:rsid w:val="10D67D3E"/>
    <w:rsid w:val="10E44BA3"/>
    <w:rsid w:val="10EA5B2A"/>
    <w:rsid w:val="10F82EA1"/>
    <w:rsid w:val="11220330"/>
    <w:rsid w:val="1138246F"/>
    <w:rsid w:val="113E4CC5"/>
    <w:rsid w:val="11947A8F"/>
    <w:rsid w:val="122E46A4"/>
    <w:rsid w:val="12350F7E"/>
    <w:rsid w:val="12470380"/>
    <w:rsid w:val="12714363"/>
    <w:rsid w:val="12A47A17"/>
    <w:rsid w:val="12D94FD9"/>
    <w:rsid w:val="12E50DFA"/>
    <w:rsid w:val="138530A7"/>
    <w:rsid w:val="13A97E7F"/>
    <w:rsid w:val="13AF3E4C"/>
    <w:rsid w:val="13BD6590"/>
    <w:rsid w:val="13FB127B"/>
    <w:rsid w:val="13FD5C8B"/>
    <w:rsid w:val="14011197"/>
    <w:rsid w:val="140C033D"/>
    <w:rsid w:val="140F47C1"/>
    <w:rsid w:val="14126B5B"/>
    <w:rsid w:val="142B7F16"/>
    <w:rsid w:val="148C25FE"/>
    <w:rsid w:val="152904D9"/>
    <w:rsid w:val="15432593"/>
    <w:rsid w:val="15757C7F"/>
    <w:rsid w:val="15800876"/>
    <w:rsid w:val="15864D32"/>
    <w:rsid w:val="15903984"/>
    <w:rsid w:val="15B634A3"/>
    <w:rsid w:val="15C9457A"/>
    <w:rsid w:val="15D4551A"/>
    <w:rsid w:val="15E07012"/>
    <w:rsid w:val="164E163A"/>
    <w:rsid w:val="165322A4"/>
    <w:rsid w:val="16555810"/>
    <w:rsid w:val="165E61EB"/>
    <w:rsid w:val="169A0CE2"/>
    <w:rsid w:val="16C554F1"/>
    <w:rsid w:val="173A778A"/>
    <w:rsid w:val="178B5910"/>
    <w:rsid w:val="17FB73DA"/>
    <w:rsid w:val="183160A6"/>
    <w:rsid w:val="18320839"/>
    <w:rsid w:val="18433CC3"/>
    <w:rsid w:val="18512D64"/>
    <w:rsid w:val="18F4078B"/>
    <w:rsid w:val="1906752A"/>
    <w:rsid w:val="192E2C71"/>
    <w:rsid w:val="194D319A"/>
    <w:rsid w:val="19CA0F24"/>
    <w:rsid w:val="1A00744A"/>
    <w:rsid w:val="1A076BC5"/>
    <w:rsid w:val="1A50145F"/>
    <w:rsid w:val="1A593079"/>
    <w:rsid w:val="1A76628E"/>
    <w:rsid w:val="1A9E7EA9"/>
    <w:rsid w:val="1B00542E"/>
    <w:rsid w:val="1B69436E"/>
    <w:rsid w:val="1BC256B5"/>
    <w:rsid w:val="1BC338E2"/>
    <w:rsid w:val="1BE461DA"/>
    <w:rsid w:val="1C316406"/>
    <w:rsid w:val="1C3A5E80"/>
    <w:rsid w:val="1C747A77"/>
    <w:rsid w:val="1C831B53"/>
    <w:rsid w:val="1CE36F46"/>
    <w:rsid w:val="1CEE5315"/>
    <w:rsid w:val="1D3F5138"/>
    <w:rsid w:val="1D43286A"/>
    <w:rsid w:val="1D4D3325"/>
    <w:rsid w:val="1E092A84"/>
    <w:rsid w:val="1E166389"/>
    <w:rsid w:val="1E510ECC"/>
    <w:rsid w:val="1E826E40"/>
    <w:rsid w:val="1EA37BEA"/>
    <w:rsid w:val="1F2039B8"/>
    <w:rsid w:val="1F3D4A16"/>
    <w:rsid w:val="1F437E3E"/>
    <w:rsid w:val="1F5C1CB1"/>
    <w:rsid w:val="200E036B"/>
    <w:rsid w:val="20244B4A"/>
    <w:rsid w:val="20572AFF"/>
    <w:rsid w:val="207E71D8"/>
    <w:rsid w:val="209A1225"/>
    <w:rsid w:val="20DA5A63"/>
    <w:rsid w:val="211211EE"/>
    <w:rsid w:val="21280F6B"/>
    <w:rsid w:val="217A5ABE"/>
    <w:rsid w:val="218C71CE"/>
    <w:rsid w:val="21C400A5"/>
    <w:rsid w:val="21C86655"/>
    <w:rsid w:val="21FC098F"/>
    <w:rsid w:val="220A430A"/>
    <w:rsid w:val="22645910"/>
    <w:rsid w:val="22932EFB"/>
    <w:rsid w:val="229C78F2"/>
    <w:rsid w:val="230C273D"/>
    <w:rsid w:val="233B0331"/>
    <w:rsid w:val="2362243E"/>
    <w:rsid w:val="23BA05F7"/>
    <w:rsid w:val="23BC4F39"/>
    <w:rsid w:val="23CE2575"/>
    <w:rsid w:val="23DF13DF"/>
    <w:rsid w:val="240C1D90"/>
    <w:rsid w:val="24144804"/>
    <w:rsid w:val="24B505FC"/>
    <w:rsid w:val="24DA4B7A"/>
    <w:rsid w:val="25385773"/>
    <w:rsid w:val="25385D54"/>
    <w:rsid w:val="257D0AB2"/>
    <w:rsid w:val="25BD4B85"/>
    <w:rsid w:val="25D216E5"/>
    <w:rsid w:val="25F41764"/>
    <w:rsid w:val="26323FF8"/>
    <w:rsid w:val="263B066E"/>
    <w:rsid w:val="26421856"/>
    <w:rsid w:val="264F6681"/>
    <w:rsid w:val="26591496"/>
    <w:rsid w:val="2660728B"/>
    <w:rsid w:val="266A40B8"/>
    <w:rsid w:val="26AC64C2"/>
    <w:rsid w:val="276224B4"/>
    <w:rsid w:val="27714B17"/>
    <w:rsid w:val="27B37802"/>
    <w:rsid w:val="27BE050C"/>
    <w:rsid w:val="27C76509"/>
    <w:rsid w:val="27C80D36"/>
    <w:rsid w:val="28020099"/>
    <w:rsid w:val="28096E54"/>
    <w:rsid w:val="282768D7"/>
    <w:rsid w:val="28A943DF"/>
    <w:rsid w:val="28DC059F"/>
    <w:rsid w:val="28EA2D58"/>
    <w:rsid w:val="29B758BA"/>
    <w:rsid w:val="29D26A74"/>
    <w:rsid w:val="2A0A6599"/>
    <w:rsid w:val="2A11602C"/>
    <w:rsid w:val="2A1C47DF"/>
    <w:rsid w:val="2A212850"/>
    <w:rsid w:val="2A3B31FA"/>
    <w:rsid w:val="2A753101"/>
    <w:rsid w:val="2AD22E2C"/>
    <w:rsid w:val="2AD96EB0"/>
    <w:rsid w:val="2B762F4B"/>
    <w:rsid w:val="2B80231C"/>
    <w:rsid w:val="2C425AC8"/>
    <w:rsid w:val="2C7669B9"/>
    <w:rsid w:val="2C89295F"/>
    <w:rsid w:val="2CA92443"/>
    <w:rsid w:val="2CAB1132"/>
    <w:rsid w:val="2CCB250B"/>
    <w:rsid w:val="2D261309"/>
    <w:rsid w:val="2D2B0B03"/>
    <w:rsid w:val="2D3C73A5"/>
    <w:rsid w:val="2D7F6F21"/>
    <w:rsid w:val="2DAC5593"/>
    <w:rsid w:val="2DF015BF"/>
    <w:rsid w:val="2E1C3B55"/>
    <w:rsid w:val="2E244B92"/>
    <w:rsid w:val="2E301A69"/>
    <w:rsid w:val="2E7B11D7"/>
    <w:rsid w:val="2ED11E06"/>
    <w:rsid w:val="2EDF365D"/>
    <w:rsid w:val="2F080792"/>
    <w:rsid w:val="2F250BC9"/>
    <w:rsid w:val="2F4B30E7"/>
    <w:rsid w:val="2FA03052"/>
    <w:rsid w:val="2FAB4398"/>
    <w:rsid w:val="303368A2"/>
    <w:rsid w:val="308B2230"/>
    <w:rsid w:val="30A73838"/>
    <w:rsid w:val="30CF4562"/>
    <w:rsid w:val="31165308"/>
    <w:rsid w:val="31180CEF"/>
    <w:rsid w:val="31B26551"/>
    <w:rsid w:val="32384BB9"/>
    <w:rsid w:val="324F7A0F"/>
    <w:rsid w:val="325858A3"/>
    <w:rsid w:val="32664234"/>
    <w:rsid w:val="32E148A9"/>
    <w:rsid w:val="330B60FD"/>
    <w:rsid w:val="332930C0"/>
    <w:rsid w:val="33304821"/>
    <w:rsid w:val="336D22D8"/>
    <w:rsid w:val="33711277"/>
    <w:rsid w:val="337A4A67"/>
    <w:rsid w:val="33BA41AE"/>
    <w:rsid w:val="340659C1"/>
    <w:rsid w:val="344909E5"/>
    <w:rsid w:val="344D23D9"/>
    <w:rsid w:val="34691D0C"/>
    <w:rsid w:val="34C07E0F"/>
    <w:rsid w:val="34D412E2"/>
    <w:rsid w:val="35690796"/>
    <w:rsid w:val="358B4CBA"/>
    <w:rsid w:val="358C63E5"/>
    <w:rsid w:val="35B63143"/>
    <w:rsid w:val="35DE1EDD"/>
    <w:rsid w:val="362B5C34"/>
    <w:rsid w:val="36567DED"/>
    <w:rsid w:val="36BC3900"/>
    <w:rsid w:val="36EA0478"/>
    <w:rsid w:val="37326625"/>
    <w:rsid w:val="374E626B"/>
    <w:rsid w:val="38135C21"/>
    <w:rsid w:val="382F3E55"/>
    <w:rsid w:val="38356D0D"/>
    <w:rsid w:val="386B5D1F"/>
    <w:rsid w:val="38B3345E"/>
    <w:rsid w:val="38C6435B"/>
    <w:rsid w:val="38D019A4"/>
    <w:rsid w:val="38E6060D"/>
    <w:rsid w:val="38E92360"/>
    <w:rsid w:val="395A14B1"/>
    <w:rsid w:val="395C264D"/>
    <w:rsid w:val="397F5DBA"/>
    <w:rsid w:val="39912668"/>
    <w:rsid w:val="39C810D0"/>
    <w:rsid w:val="39CE1C6B"/>
    <w:rsid w:val="3A080CAA"/>
    <w:rsid w:val="3A4211CB"/>
    <w:rsid w:val="3A5C05E2"/>
    <w:rsid w:val="3A650470"/>
    <w:rsid w:val="3A724CB6"/>
    <w:rsid w:val="3A837E92"/>
    <w:rsid w:val="3AB5664B"/>
    <w:rsid w:val="3B1E24F0"/>
    <w:rsid w:val="3B201CE4"/>
    <w:rsid w:val="3BB52518"/>
    <w:rsid w:val="3BD27691"/>
    <w:rsid w:val="3BE2129B"/>
    <w:rsid w:val="3C020190"/>
    <w:rsid w:val="3C355916"/>
    <w:rsid w:val="3C7700BB"/>
    <w:rsid w:val="3CB31CB8"/>
    <w:rsid w:val="3CC92302"/>
    <w:rsid w:val="3CEF02BC"/>
    <w:rsid w:val="3D1B2FA5"/>
    <w:rsid w:val="3D2110F1"/>
    <w:rsid w:val="3D356DE3"/>
    <w:rsid w:val="3D69134E"/>
    <w:rsid w:val="3D941C30"/>
    <w:rsid w:val="3D974467"/>
    <w:rsid w:val="3DA019FE"/>
    <w:rsid w:val="3DDE5E63"/>
    <w:rsid w:val="3E2F3294"/>
    <w:rsid w:val="3EA4797A"/>
    <w:rsid w:val="3EAF052F"/>
    <w:rsid w:val="3ED966B8"/>
    <w:rsid w:val="3EED7FFD"/>
    <w:rsid w:val="3F285D3C"/>
    <w:rsid w:val="3F821A48"/>
    <w:rsid w:val="3F962587"/>
    <w:rsid w:val="3FEE48C6"/>
    <w:rsid w:val="401F6711"/>
    <w:rsid w:val="40411020"/>
    <w:rsid w:val="404130DF"/>
    <w:rsid w:val="40A8411D"/>
    <w:rsid w:val="40BD754B"/>
    <w:rsid w:val="414004A4"/>
    <w:rsid w:val="4148584B"/>
    <w:rsid w:val="4155331F"/>
    <w:rsid w:val="416042BB"/>
    <w:rsid w:val="41B35388"/>
    <w:rsid w:val="41EB004D"/>
    <w:rsid w:val="42685541"/>
    <w:rsid w:val="426F4A5F"/>
    <w:rsid w:val="428908A0"/>
    <w:rsid w:val="42BB433F"/>
    <w:rsid w:val="42D85DB7"/>
    <w:rsid w:val="42E3420D"/>
    <w:rsid w:val="43922D92"/>
    <w:rsid w:val="43B51CA1"/>
    <w:rsid w:val="43B55EC5"/>
    <w:rsid w:val="44086991"/>
    <w:rsid w:val="44394309"/>
    <w:rsid w:val="44413354"/>
    <w:rsid w:val="44423E57"/>
    <w:rsid w:val="44511364"/>
    <w:rsid w:val="44616B88"/>
    <w:rsid w:val="44735531"/>
    <w:rsid w:val="44974562"/>
    <w:rsid w:val="44C70D28"/>
    <w:rsid w:val="44DD1435"/>
    <w:rsid w:val="454C4253"/>
    <w:rsid w:val="455A3AA4"/>
    <w:rsid w:val="45694F1A"/>
    <w:rsid w:val="4575762E"/>
    <w:rsid w:val="458E6E21"/>
    <w:rsid w:val="45B618C7"/>
    <w:rsid w:val="45CA2B79"/>
    <w:rsid w:val="46137CFC"/>
    <w:rsid w:val="4631154C"/>
    <w:rsid w:val="46543594"/>
    <w:rsid w:val="468F1E47"/>
    <w:rsid w:val="469626CC"/>
    <w:rsid w:val="46CA3D8F"/>
    <w:rsid w:val="46CC0AE6"/>
    <w:rsid w:val="46E82964"/>
    <w:rsid w:val="46EE5C2C"/>
    <w:rsid w:val="46F97FB6"/>
    <w:rsid w:val="47037A18"/>
    <w:rsid w:val="475E2CBA"/>
    <w:rsid w:val="478140BA"/>
    <w:rsid w:val="47AD4DB0"/>
    <w:rsid w:val="47B428E8"/>
    <w:rsid w:val="482218B0"/>
    <w:rsid w:val="483F5051"/>
    <w:rsid w:val="486C144B"/>
    <w:rsid w:val="487F0F0A"/>
    <w:rsid w:val="48AF7F9D"/>
    <w:rsid w:val="48D47BC2"/>
    <w:rsid w:val="48EA76B0"/>
    <w:rsid w:val="494E17F4"/>
    <w:rsid w:val="497C5E18"/>
    <w:rsid w:val="49815A51"/>
    <w:rsid w:val="498E7B60"/>
    <w:rsid w:val="499978B3"/>
    <w:rsid w:val="49A76F72"/>
    <w:rsid w:val="49B43FF2"/>
    <w:rsid w:val="49E37D4C"/>
    <w:rsid w:val="49ED54E3"/>
    <w:rsid w:val="4A8C1415"/>
    <w:rsid w:val="4AA71A88"/>
    <w:rsid w:val="4AD6006B"/>
    <w:rsid w:val="4AEC5188"/>
    <w:rsid w:val="4AFC16B3"/>
    <w:rsid w:val="4B5C62F5"/>
    <w:rsid w:val="4BB5717A"/>
    <w:rsid w:val="4BCC1B11"/>
    <w:rsid w:val="4BE2135B"/>
    <w:rsid w:val="4BF50EA7"/>
    <w:rsid w:val="4C287C95"/>
    <w:rsid w:val="4C5A1AB1"/>
    <w:rsid w:val="4C90442A"/>
    <w:rsid w:val="4D00374B"/>
    <w:rsid w:val="4D740658"/>
    <w:rsid w:val="4D915DDC"/>
    <w:rsid w:val="4E003FDF"/>
    <w:rsid w:val="4E7B669D"/>
    <w:rsid w:val="4E8805E2"/>
    <w:rsid w:val="4ED103BA"/>
    <w:rsid w:val="4ED8129E"/>
    <w:rsid w:val="4EEB5D5A"/>
    <w:rsid w:val="4F627292"/>
    <w:rsid w:val="4F93218E"/>
    <w:rsid w:val="4FEC2ED4"/>
    <w:rsid w:val="4FF51092"/>
    <w:rsid w:val="501F5F82"/>
    <w:rsid w:val="504D1837"/>
    <w:rsid w:val="50530ED7"/>
    <w:rsid w:val="50B458C0"/>
    <w:rsid w:val="50E35899"/>
    <w:rsid w:val="513A4172"/>
    <w:rsid w:val="513B734F"/>
    <w:rsid w:val="5165503A"/>
    <w:rsid w:val="5174207F"/>
    <w:rsid w:val="5187057B"/>
    <w:rsid w:val="51D242ED"/>
    <w:rsid w:val="51D952A7"/>
    <w:rsid w:val="522366DE"/>
    <w:rsid w:val="52303722"/>
    <w:rsid w:val="528564ED"/>
    <w:rsid w:val="52B65977"/>
    <w:rsid w:val="52F70701"/>
    <w:rsid w:val="53320703"/>
    <w:rsid w:val="533656B4"/>
    <w:rsid w:val="533C4597"/>
    <w:rsid w:val="53474500"/>
    <w:rsid w:val="538E3A45"/>
    <w:rsid w:val="53B179CA"/>
    <w:rsid w:val="53F114BC"/>
    <w:rsid w:val="54C95AD3"/>
    <w:rsid w:val="54D82143"/>
    <w:rsid w:val="55274288"/>
    <w:rsid w:val="552D4396"/>
    <w:rsid w:val="55F55937"/>
    <w:rsid w:val="561D76E9"/>
    <w:rsid w:val="565B586A"/>
    <w:rsid w:val="56AB3676"/>
    <w:rsid w:val="56B9541F"/>
    <w:rsid w:val="56FF73AA"/>
    <w:rsid w:val="571F2E51"/>
    <w:rsid w:val="574B47CF"/>
    <w:rsid w:val="57661B56"/>
    <w:rsid w:val="57785731"/>
    <w:rsid w:val="57877053"/>
    <w:rsid w:val="57D15132"/>
    <w:rsid w:val="582341BE"/>
    <w:rsid w:val="58510899"/>
    <w:rsid w:val="5867064C"/>
    <w:rsid w:val="5872548C"/>
    <w:rsid w:val="587C1C35"/>
    <w:rsid w:val="58EA6A1B"/>
    <w:rsid w:val="592B4AAC"/>
    <w:rsid w:val="59566DAA"/>
    <w:rsid w:val="59941DD1"/>
    <w:rsid w:val="59B755D4"/>
    <w:rsid w:val="5A141E5B"/>
    <w:rsid w:val="5AB81ECA"/>
    <w:rsid w:val="5B0071ED"/>
    <w:rsid w:val="5B34270E"/>
    <w:rsid w:val="5B7454F8"/>
    <w:rsid w:val="5B7A2602"/>
    <w:rsid w:val="5BD33963"/>
    <w:rsid w:val="5BF45AE6"/>
    <w:rsid w:val="5C2006D5"/>
    <w:rsid w:val="5C456B2F"/>
    <w:rsid w:val="5C7F30EE"/>
    <w:rsid w:val="5C9875DC"/>
    <w:rsid w:val="5CA54B3A"/>
    <w:rsid w:val="5CDF4ED0"/>
    <w:rsid w:val="5D7415AC"/>
    <w:rsid w:val="5D7D6D2A"/>
    <w:rsid w:val="5DB41E6D"/>
    <w:rsid w:val="5DB65BD3"/>
    <w:rsid w:val="5DD7525E"/>
    <w:rsid w:val="5DE92E89"/>
    <w:rsid w:val="5DEC0919"/>
    <w:rsid w:val="5E1536C2"/>
    <w:rsid w:val="5E27090A"/>
    <w:rsid w:val="5E371203"/>
    <w:rsid w:val="5E5F0582"/>
    <w:rsid w:val="5E6B178A"/>
    <w:rsid w:val="5E7722A1"/>
    <w:rsid w:val="5F366503"/>
    <w:rsid w:val="5F481422"/>
    <w:rsid w:val="5F601C96"/>
    <w:rsid w:val="5FB21BBB"/>
    <w:rsid w:val="5FC16C8E"/>
    <w:rsid w:val="5FF2072A"/>
    <w:rsid w:val="60F5641A"/>
    <w:rsid w:val="60F75B2B"/>
    <w:rsid w:val="61050DAE"/>
    <w:rsid w:val="612A29A8"/>
    <w:rsid w:val="618101E3"/>
    <w:rsid w:val="61B71493"/>
    <w:rsid w:val="61D76392"/>
    <w:rsid w:val="61F40326"/>
    <w:rsid w:val="61FF46C7"/>
    <w:rsid w:val="6223625E"/>
    <w:rsid w:val="62736C73"/>
    <w:rsid w:val="63063093"/>
    <w:rsid w:val="63067094"/>
    <w:rsid w:val="639A4E48"/>
    <w:rsid w:val="63C511FD"/>
    <w:rsid w:val="640F6E8D"/>
    <w:rsid w:val="641F20E4"/>
    <w:rsid w:val="642F768E"/>
    <w:rsid w:val="644E3BF2"/>
    <w:rsid w:val="64565585"/>
    <w:rsid w:val="64A61FBD"/>
    <w:rsid w:val="655110E4"/>
    <w:rsid w:val="657D7505"/>
    <w:rsid w:val="65DD1C34"/>
    <w:rsid w:val="660136AC"/>
    <w:rsid w:val="662B61E7"/>
    <w:rsid w:val="66355A97"/>
    <w:rsid w:val="6648413E"/>
    <w:rsid w:val="66830DD7"/>
    <w:rsid w:val="66976C88"/>
    <w:rsid w:val="66A72F5C"/>
    <w:rsid w:val="66DE2AE2"/>
    <w:rsid w:val="66F43D4A"/>
    <w:rsid w:val="672F2221"/>
    <w:rsid w:val="673B5505"/>
    <w:rsid w:val="677A19D6"/>
    <w:rsid w:val="679A47DF"/>
    <w:rsid w:val="679B75D8"/>
    <w:rsid w:val="67AE61CE"/>
    <w:rsid w:val="67B01578"/>
    <w:rsid w:val="67DD267B"/>
    <w:rsid w:val="67DE04F8"/>
    <w:rsid w:val="68034430"/>
    <w:rsid w:val="682751C7"/>
    <w:rsid w:val="682804D1"/>
    <w:rsid w:val="684319FE"/>
    <w:rsid w:val="686C5A72"/>
    <w:rsid w:val="689317AF"/>
    <w:rsid w:val="68A054C2"/>
    <w:rsid w:val="68C36E69"/>
    <w:rsid w:val="68F2196E"/>
    <w:rsid w:val="69092152"/>
    <w:rsid w:val="69235319"/>
    <w:rsid w:val="692F7CD3"/>
    <w:rsid w:val="696C0E6E"/>
    <w:rsid w:val="69797C2C"/>
    <w:rsid w:val="69C207FF"/>
    <w:rsid w:val="69E505FB"/>
    <w:rsid w:val="6A017422"/>
    <w:rsid w:val="6A151613"/>
    <w:rsid w:val="6A4D70E8"/>
    <w:rsid w:val="6A841564"/>
    <w:rsid w:val="6AA11E2F"/>
    <w:rsid w:val="6AE4786A"/>
    <w:rsid w:val="6B35124A"/>
    <w:rsid w:val="6BBD024B"/>
    <w:rsid w:val="6C1855F5"/>
    <w:rsid w:val="6CE64206"/>
    <w:rsid w:val="6CFC2A23"/>
    <w:rsid w:val="6D2964BF"/>
    <w:rsid w:val="6D304E75"/>
    <w:rsid w:val="6D3F18FA"/>
    <w:rsid w:val="6D9C1FDB"/>
    <w:rsid w:val="6DAA7BCC"/>
    <w:rsid w:val="6DC96B71"/>
    <w:rsid w:val="6DE41221"/>
    <w:rsid w:val="6DE91AC4"/>
    <w:rsid w:val="6DED08F1"/>
    <w:rsid w:val="6DFF137D"/>
    <w:rsid w:val="6E2C0D10"/>
    <w:rsid w:val="6E8B6899"/>
    <w:rsid w:val="6EB45CF1"/>
    <w:rsid w:val="6FC3038A"/>
    <w:rsid w:val="6FFF274E"/>
    <w:rsid w:val="700249D6"/>
    <w:rsid w:val="702F3BC8"/>
    <w:rsid w:val="705A1486"/>
    <w:rsid w:val="70B37ABB"/>
    <w:rsid w:val="70C66FF2"/>
    <w:rsid w:val="7117283F"/>
    <w:rsid w:val="718D4E81"/>
    <w:rsid w:val="71A060CE"/>
    <w:rsid w:val="71D600B8"/>
    <w:rsid w:val="71D814F4"/>
    <w:rsid w:val="71E944C1"/>
    <w:rsid w:val="72110AF2"/>
    <w:rsid w:val="725F0E6C"/>
    <w:rsid w:val="733E2147"/>
    <w:rsid w:val="73810772"/>
    <w:rsid w:val="73D858E3"/>
    <w:rsid w:val="746832D8"/>
    <w:rsid w:val="74C909B9"/>
    <w:rsid w:val="74CD7E50"/>
    <w:rsid w:val="74D859B7"/>
    <w:rsid w:val="75F03395"/>
    <w:rsid w:val="7665019A"/>
    <w:rsid w:val="76D24558"/>
    <w:rsid w:val="76ED2555"/>
    <w:rsid w:val="771C7C27"/>
    <w:rsid w:val="77877B9F"/>
    <w:rsid w:val="779608B1"/>
    <w:rsid w:val="779A3C5D"/>
    <w:rsid w:val="781C6C86"/>
    <w:rsid w:val="78BB4363"/>
    <w:rsid w:val="78BF17F9"/>
    <w:rsid w:val="793A35B7"/>
    <w:rsid w:val="798F77BA"/>
    <w:rsid w:val="79975B28"/>
    <w:rsid w:val="79C46978"/>
    <w:rsid w:val="79F56560"/>
    <w:rsid w:val="7A8F7EEB"/>
    <w:rsid w:val="7AA717B8"/>
    <w:rsid w:val="7AA977C9"/>
    <w:rsid w:val="7AB20EC8"/>
    <w:rsid w:val="7AF564B2"/>
    <w:rsid w:val="7B0B6FF2"/>
    <w:rsid w:val="7B8F138F"/>
    <w:rsid w:val="7B90320C"/>
    <w:rsid w:val="7BF26939"/>
    <w:rsid w:val="7BF30583"/>
    <w:rsid w:val="7C122CFA"/>
    <w:rsid w:val="7C1E1273"/>
    <w:rsid w:val="7C3640D5"/>
    <w:rsid w:val="7CA7043C"/>
    <w:rsid w:val="7CEA3653"/>
    <w:rsid w:val="7CF96557"/>
    <w:rsid w:val="7D2E0078"/>
    <w:rsid w:val="7D4A1ACE"/>
    <w:rsid w:val="7D94273B"/>
    <w:rsid w:val="7E260F64"/>
    <w:rsid w:val="7E4931D1"/>
    <w:rsid w:val="7E4B6A01"/>
    <w:rsid w:val="7E4C5A9B"/>
    <w:rsid w:val="7E4F3323"/>
    <w:rsid w:val="7E6C7DD0"/>
    <w:rsid w:val="7EBA2FDE"/>
    <w:rsid w:val="7EEA09C0"/>
    <w:rsid w:val="7EFD7FC8"/>
    <w:rsid w:val="7F457BF6"/>
    <w:rsid w:val="7F716E8A"/>
    <w:rsid w:val="7F93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Id w:val="1"/>
      </w:numPr>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uiPriority w:val="1"/>
  </w:style>
  <w:style w:type="table" w:default="1" w:styleId="64">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annotation subject"/>
    <w:basedOn w:val="15"/>
    <w:next w:val="15"/>
    <w:link w:val="91"/>
    <w:semiHidden/>
    <w:qFormat/>
    <w:uiPriority w:val="0"/>
    <w:pPr>
      <w:widowControl/>
      <w:spacing w:before="40"/>
    </w:pPr>
    <w:rPr>
      <w:rFonts w:ascii="Arial" w:hAnsi="Arial" w:eastAsia="MS Mincho"/>
      <w:b/>
      <w:bCs/>
      <w:kern w:val="0"/>
      <w:sz w:val="20"/>
      <w:szCs w:val="20"/>
      <w:lang w:val="en-GB" w:eastAsia="en-GB"/>
    </w:rPr>
  </w:style>
  <w:style w:type="paragraph" w:styleId="15">
    <w:name w:val="annotation text"/>
    <w:basedOn w:val="1"/>
    <w:link w:val="175"/>
    <w:unhideWhenUsed/>
    <w:qFormat/>
    <w:uiPriority w:val="0"/>
    <w:pPr>
      <w:jc w:val="left"/>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89"/>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68"/>
    <w:unhideWhenUsed/>
    <w:qFormat/>
    <w:uiPriority w:val="0"/>
    <w:rPr>
      <w:rFonts w:ascii="宋体"/>
      <w:sz w:val="18"/>
      <w:szCs w:val="18"/>
    </w:r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9"/>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66">
    <w:name w:val="Balloon Text Char"/>
    <w:basedOn w:val="56"/>
    <w:link w:val="37"/>
    <w:qFormat/>
    <w:uiPriority w:val="0"/>
    <w:rPr>
      <w:kern w:val="2"/>
      <w:sz w:val="18"/>
      <w:szCs w:val="18"/>
    </w:rPr>
  </w:style>
  <w:style w:type="paragraph" w:customStyle="1" w:styleId="67">
    <w:name w:val="List Paragraph1"/>
    <w:basedOn w:val="1"/>
    <w:link w:val="272"/>
    <w:unhideWhenUsed/>
    <w:qFormat/>
    <w:uiPriority w:val="99"/>
    <w:pPr>
      <w:ind w:firstLine="420" w:firstLineChars="200"/>
    </w:pPr>
  </w:style>
  <w:style w:type="character" w:customStyle="1" w:styleId="68">
    <w:name w:val="Document Map Char"/>
    <w:basedOn w:val="56"/>
    <w:link w:val="26"/>
    <w:qFormat/>
    <w:uiPriority w:val="0"/>
    <w:rPr>
      <w:rFonts w:ascii="宋体"/>
      <w:kern w:val="2"/>
      <w:sz w:val="18"/>
      <w:szCs w:val="18"/>
    </w:rPr>
  </w:style>
  <w:style w:type="character" w:customStyle="1" w:styleId="69">
    <w:name w:val="Heading 1 Char"/>
    <w:basedOn w:val="56"/>
    <w:link w:val="2"/>
    <w:qFormat/>
    <w:uiPriority w:val="0"/>
    <w:rPr>
      <w:b/>
      <w:bCs/>
      <w:kern w:val="44"/>
      <w:sz w:val="44"/>
      <w:szCs w:val="44"/>
    </w:rPr>
  </w:style>
  <w:style w:type="character" w:customStyle="1" w:styleId="70">
    <w:name w:val="Heading 2 Char"/>
    <w:basedOn w:val="56"/>
    <w:link w:val="3"/>
    <w:qFormat/>
    <w:uiPriority w:val="0"/>
    <w:rPr>
      <w:rFonts w:ascii="Arial" w:hAnsi="Arial" w:eastAsia="MS Mincho"/>
      <w:sz w:val="32"/>
      <w:szCs w:val="32"/>
      <w:lang w:val="en-GB"/>
    </w:rPr>
  </w:style>
  <w:style w:type="character" w:customStyle="1" w:styleId="71">
    <w:name w:val="Heading 3 Char"/>
    <w:basedOn w:val="56"/>
    <w:link w:val="4"/>
    <w:qFormat/>
    <w:uiPriority w:val="0"/>
    <w:rPr>
      <w:b/>
      <w:bCs/>
      <w:kern w:val="2"/>
      <w:sz w:val="32"/>
      <w:szCs w:val="32"/>
    </w:rPr>
  </w:style>
  <w:style w:type="character" w:customStyle="1" w:styleId="72">
    <w:name w:val="Heading 4 Char"/>
    <w:basedOn w:val="56"/>
    <w:link w:val="5"/>
    <w:qFormat/>
    <w:uiPriority w:val="0"/>
    <w:rPr>
      <w:rFonts w:ascii="Arial" w:hAnsi="Arial" w:eastAsia="黑体"/>
      <w:b/>
      <w:kern w:val="2"/>
      <w:sz w:val="28"/>
      <w:szCs w:val="24"/>
    </w:rPr>
  </w:style>
  <w:style w:type="character" w:customStyle="1" w:styleId="73">
    <w:name w:val="Heading 5 Char"/>
    <w:basedOn w:val="56"/>
    <w:link w:val="6"/>
    <w:qFormat/>
    <w:uiPriority w:val="0"/>
    <w:rPr>
      <w:b/>
      <w:kern w:val="2"/>
      <w:sz w:val="28"/>
      <w:szCs w:val="24"/>
    </w:rPr>
  </w:style>
  <w:style w:type="character" w:customStyle="1" w:styleId="74">
    <w:name w:val="Heading 6 Char"/>
    <w:basedOn w:val="56"/>
    <w:link w:val="7"/>
    <w:qFormat/>
    <w:uiPriority w:val="0"/>
    <w:rPr>
      <w:rFonts w:ascii="Arial" w:hAnsi="Arial" w:eastAsia="黑体"/>
      <w:b/>
      <w:kern w:val="2"/>
      <w:sz w:val="24"/>
      <w:szCs w:val="24"/>
    </w:rPr>
  </w:style>
  <w:style w:type="character" w:customStyle="1" w:styleId="75">
    <w:name w:val="Heading 7 Char"/>
    <w:basedOn w:val="56"/>
    <w:link w:val="8"/>
    <w:qFormat/>
    <w:uiPriority w:val="0"/>
    <w:rPr>
      <w:b/>
      <w:kern w:val="2"/>
      <w:sz w:val="24"/>
      <w:szCs w:val="24"/>
    </w:rPr>
  </w:style>
  <w:style w:type="character" w:customStyle="1" w:styleId="76">
    <w:name w:val="Heading 8 Char"/>
    <w:basedOn w:val="56"/>
    <w:link w:val="9"/>
    <w:qFormat/>
    <w:uiPriority w:val="0"/>
    <w:rPr>
      <w:rFonts w:ascii="Arial" w:hAnsi="Arial" w:eastAsia="黑体"/>
      <w:kern w:val="2"/>
      <w:sz w:val="24"/>
      <w:szCs w:val="24"/>
    </w:rPr>
  </w:style>
  <w:style w:type="character" w:customStyle="1" w:styleId="77">
    <w:name w:val="Heading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4"/>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Comment Subject Char"/>
    <w:basedOn w:val="92"/>
    <w:link w:val="14"/>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8"/>
    <w:qFormat/>
    <w:uiPriority w:val="99"/>
    <w:rPr>
      <w:kern w:val="2"/>
      <w:sz w:val="18"/>
      <w:szCs w:val="18"/>
    </w:rPr>
  </w:style>
  <w:style w:type="character" w:customStyle="1" w:styleId="113">
    <w:name w:val="Placeholder Text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Plain Text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6"/>
    <w:link w:val="28"/>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Footnote Text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6"/>
    <w:link w:val="1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4"/>
    <w:next w:val="44"/>
    <w:qFormat/>
    <w:uiPriority w:val="0"/>
    <w:pPr>
      <w:ind w:firstLine="360"/>
    </w:pPr>
    <w:rPr>
      <w:sz w:val="18"/>
    </w:rPr>
  </w:style>
  <w:style w:type="paragraph" w:customStyle="1" w:styleId="202">
    <w:name w:val="图标脚注说明"/>
    <w:basedOn w:val="44"/>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6">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4"/>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0">
    <w:name w:val="其他实施日期"/>
    <w:basedOn w:val="164"/>
    <w:qFormat/>
    <w:uiPriority w:val="0"/>
  </w:style>
  <w:style w:type="paragraph" w:customStyle="1" w:styleId="211">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7"/>
    <w:qFormat/>
    <w:uiPriority w:val="0"/>
  </w:style>
  <w:style w:type="paragraph" w:customStyle="1" w:styleId="216">
    <w:name w:val="其他发布日期"/>
    <w:basedOn w:val="165"/>
    <w:qFormat/>
    <w:uiPriority w:val="0"/>
  </w:style>
  <w:style w:type="paragraph" w:customStyle="1" w:styleId="217">
    <w:name w:val="B4"/>
    <w:basedOn w:val="48"/>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1">
    <w:name w:val="附录表标号"/>
    <w:basedOn w:val="1"/>
    <w:next w:val="44"/>
    <w:qFormat/>
    <w:uiPriority w:val="0"/>
    <w:pPr>
      <w:spacing w:line="14" w:lineRule="exact"/>
      <w:ind w:left="811" w:hanging="448"/>
      <w:jc w:val="center"/>
      <w:outlineLvl w:val="0"/>
    </w:pPr>
    <w:rPr>
      <w:color w:val="FFFFFF"/>
    </w:rPr>
  </w:style>
  <w:style w:type="paragraph" w:customStyle="1" w:styleId="222">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3">
    <w:name w:val="附录标题"/>
    <w:basedOn w:val="44"/>
    <w:next w:val="44"/>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link w:val="279"/>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8"/>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List Paragraph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Editor's Note Char"/>
    <w:link w:val="238"/>
    <w:qFormat/>
    <w:uiPriority w:val="0"/>
    <w:rPr>
      <w:rFonts w:eastAsia="MS Mincho"/>
      <w:color w:val="FF0000"/>
      <w:lang w:val="en-GB" w:eastAsia="en-US"/>
    </w:rPr>
  </w:style>
  <w:style w:type="paragraph" w:customStyle="1" w:styleId="280">
    <w:name w:val="List Paragraph2"/>
    <w:basedOn w:val="1"/>
    <w:qFormat/>
    <w:uiPriority w:val="34"/>
    <w:pPr>
      <w:spacing w:after="0"/>
      <w:ind w:firstLine="420"/>
    </w:pPr>
    <w:rPr>
      <w:rFonts w:ascii="Calibri" w:hAnsi="Calibri" w:eastAsia="宋体" w:cs="宋体"/>
      <w:szCs w:val="21"/>
    </w:rPr>
  </w:style>
  <w:style w:type="paragraph" w:styleId="281">
    <w:name w:val="List Paragraph"/>
    <w:basedOn w:val="1"/>
    <w:unhideWhenUsed/>
    <w:qFormat/>
    <w:uiPriority w:val="99"/>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E502A7-0D2F-441C-8A23-AF6D7D695059}">
  <ds:schemaRefs/>
</ds:datastoreItem>
</file>

<file path=docProps/app.xml><?xml version="1.0" encoding="utf-8"?>
<Properties xmlns="http://schemas.openxmlformats.org/officeDocument/2006/extended-properties" xmlns:vt="http://schemas.openxmlformats.org/officeDocument/2006/docPropsVTypes">
  <Template>Normal</Template>
  <Pages>2</Pages>
  <Words>555</Words>
  <Characters>3168</Characters>
  <Lines>26</Lines>
  <Paragraphs>7</Paragraphs>
  <TotalTime>0</TotalTime>
  <ScaleCrop>false</ScaleCrop>
  <LinksUpToDate>false</LinksUpToDate>
  <CharactersWithSpaces>3716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2019-05-02T22:48:00Z</dcterms:created>
  <dc:creator>10033860</dc:creator>
  <cp:lastModifiedBy>AI JIANXUN</cp:lastModifiedBy>
  <cp:lastPrinted>2113-01-01T00:00:00Z</cp:lastPrinted>
  <dcterms:modified xsi:type="dcterms:W3CDTF">2019-08-16T03:37:31Z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